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B4085B">
        <w:rPr>
          <w:rFonts w:ascii="Palatino Linotype" w:hAnsi="Palatino Linotype" w:cs="Arial"/>
          <w:b/>
          <w:bCs/>
          <w:sz w:val="23"/>
          <w:szCs w:val="23"/>
        </w:rPr>
        <w:t>04602/INFOEM/IP/RR/2018</w:t>
      </w:r>
      <w:r w:rsidR="00D37ED5">
        <w:rPr>
          <w:rFonts w:ascii="Palatino Linotype" w:hAnsi="Palatino Linotype" w:cs="Arial"/>
          <w:b/>
          <w:bCs/>
          <w:sz w:val="23"/>
          <w:szCs w:val="23"/>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4534E8" w:rsidRPr="004534E8" w:rsidRDefault="00E6179D">
          <w:pPr>
            <w:pStyle w:val="TDC1"/>
            <w:rPr>
              <w:rFonts w:asciiTheme="minorHAnsi" w:eastAsiaTheme="minorEastAsia" w:hAnsiTheme="minorHAnsi"/>
              <w:b w:val="0"/>
              <w:sz w:val="24"/>
              <w:szCs w:val="24"/>
              <w:lang w:eastAsia="es-MX"/>
            </w:rPr>
          </w:pPr>
          <w:r w:rsidRPr="001D598A">
            <w:rPr>
              <w:sz w:val="24"/>
              <w:szCs w:val="24"/>
            </w:rPr>
            <w:fldChar w:fldCharType="begin"/>
          </w:r>
          <w:r w:rsidRPr="001D598A">
            <w:rPr>
              <w:sz w:val="24"/>
              <w:szCs w:val="24"/>
            </w:rPr>
            <w:instrText xml:space="preserve"> TOC \o "1-3" \h \z \u </w:instrText>
          </w:r>
          <w:r w:rsidRPr="001D598A">
            <w:rPr>
              <w:sz w:val="24"/>
              <w:szCs w:val="24"/>
            </w:rPr>
            <w:fldChar w:fldCharType="separate"/>
          </w:r>
          <w:hyperlink w:anchor="_Toc1121191" w:history="1">
            <w:r w:rsidR="004534E8" w:rsidRPr="004534E8">
              <w:rPr>
                <w:rStyle w:val="Hipervnculo"/>
                <w:rFonts w:eastAsia="Times New Roman"/>
                <w:sz w:val="24"/>
                <w:szCs w:val="24"/>
              </w:rPr>
              <w:t>I.</w:t>
            </w:r>
            <w:r w:rsidR="004534E8" w:rsidRPr="004534E8">
              <w:rPr>
                <w:rFonts w:asciiTheme="minorHAnsi" w:eastAsiaTheme="minorEastAsia" w:hAnsiTheme="minorHAnsi"/>
                <w:b w:val="0"/>
                <w:sz w:val="24"/>
                <w:szCs w:val="24"/>
                <w:lang w:eastAsia="es-MX"/>
              </w:rPr>
              <w:tab/>
            </w:r>
            <w:r w:rsidR="004534E8" w:rsidRPr="004534E8">
              <w:rPr>
                <w:rStyle w:val="Hipervnculo"/>
                <w:rFonts w:eastAsia="Times New Roman"/>
                <w:sz w:val="24"/>
                <w:szCs w:val="24"/>
              </w:rPr>
              <w:t>Consideraciones Generales</w:t>
            </w:r>
            <w:r w:rsidR="004534E8" w:rsidRPr="004534E8">
              <w:rPr>
                <w:webHidden/>
                <w:sz w:val="24"/>
                <w:szCs w:val="24"/>
              </w:rPr>
              <w:tab/>
            </w:r>
            <w:r w:rsidR="004534E8" w:rsidRPr="004534E8">
              <w:rPr>
                <w:webHidden/>
                <w:sz w:val="24"/>
                <w:szCs w:val="24"/>
              </w:rPr>
              <w:fldChar w:fldCharType="begin"/>
            </w:r>
            <w:r w:rsidR="004534E8" w:rsidRPr="004534E8">
              <w:rPr>
                <w:webHidden/>
                <w:sz w:val="24"/>
                <w:szCs w:val="24"/>
              </w:rPr>
              <w:instrText xml:space="preserve"> PAGEREF _Toc1121191 \h </w:instrText>
            </w:r>
            <w:r w:rsidR="004534E8" w:rsidRPr="004534E8">
              <w:rPr>
                <w:webHidden/>
                <w:sz w:val="24"/>
                <w:szCs w:val="24"/>
              </w:rPr>
            </w:r>
            <w:r w:rsidR="004534E8" w:rsidRPr="004534E8">
              <w:rPr>
                <w:webHidden/>
                <w:sz w:val="24"/>
                <w:szCs w:val="24"/>
              </w:rPr>
              <w:fldChar w:fldCharType="separate"/>
            </w:r>
            <w:r w:rsidR="00320326">
              <w:rPr>
                <w:webHidden/>
                <w:sz w:val="24"/>
                <w:szCs w:val="24"/>
              </w:rPr>
              <w:t>1</w:t>
            </w:r>
            <w:r w:rsidR="004534E8" w:rsidRPr="004534E8">
              <w:rPr>
                <w:webHidden/>
                <w:sz w:val="24"/>
                <w:szCs w:val="24"/>
              </w:rPr>
              <w:fldChar w:fldCharType="end"/>
            </w:r>
          </w:hyperlink>
        </w:p>
        <w:p w:rsidR="004534E8" w:rsidRPr="004534E8" w:rsidRDefault="00320326">
          <w:pPr>
            <w:pStyle w:val="TDC1"/>
            <w:rPr>
              <w:rFonts w:asciiTheme="minorHAnsi" w:eastAsiaTheme="minorEastAsia" w:hAnsiTheme="minorHAnsi"/>
              <w:b w:val="0"/>
              <w:sz w:val="24"/>
              <w:szCs w:val="24"/>
              <w:lang w:eastAsia="es-MX"/>
            </w:rPr>
          </w:pPr>
          <w:hyperlink w:anchor="_Toc1121192" w:history="1">
            <w:r w:rsidR="004534E8" w:rsidRPr="004534E8">
              <w:rPr>
                <w:rStyle w:val="Hipervnculo"/>
                <w:rFonts w:eastAsia="Calibri"/>
                <w:sz w:val="24"/>
                <w:szCs w:val="24"/>
                <w:lang w:val="es-ES"/>
              </w:rPr>
              <w:t>II.</w:t>
            </w:r>
            <w:r w:rsidR="004534E8" w:rsidRPr="004534E8">
              <w:rPr>
                <w:rFonts w:asciiTheme="minorHAnsi" w:eastAsiaTheme="minorEastAsia" w:hAnsiTheme="minorHAnsi"/>
                <w:b w:val="0"/>
                <w:sz w:val="24"/>
                <w:szCs w:val="24"/>
                <w:lang w:eastAsia="es-MX"/>
              </w:rPr>
              <w:tab/>
            </w:r>
            <w:r w:rsidR="004534E8" w:rsidRPr="004534E8">
              <w:rPr>
                <w:rStyle w:val="Hipervnculo"/>
                <w:rFonts w:eastAsia="Calibri"/>
                <w:sz w:val="24"/>
                <w:szCs w:val="24"/>
                <w:lang w:val="es-ES"/>
              </w:rPr>
              <w:t>De los requerimientos planteados en el recurso de revisión.</w:t>
            </w:r>
            <w:r w:rsidR="004534E8" w:rsidRPr="004534E8">
              <w:rPr>
                <w:webHidden/>
                <w:sz w:val="24"/>
                <w:szCs w:val="24"/>
              </w:rPr>
              <w:tab/>
            </w:r>
            <w:r w:rsidR="004534E8" w:rsidRPr="004534E8">
              <w:rPr>
                <w:webHidden/>
                <w:sz w:val="24"/>
                <w:szCs w:val="24"/>
              </w:rPr>
              <w:fldChar w:fldCharType="begin"/>
            </w:r>
            <w:r w:rsidR="004534E8" w:rsidRPr="004534E8">
              <w:rPr>
                <w:webHidden/>
                <w:sz w:val="24"/>
                <w:szCs w:val="24"/>
              </w:rPr>
              <w:instrText xml:space="preserve"> PAGEREF _Toc1121192 \h </w:instrText>
            </w:r>
            <w:r w:rsidR="004534E8" w:rsidRPr="004534E8">
              <w:rPr>
                <w:webHidden/>
                <w:sz w:val="24"/>
                <w:szCs w:val="24"/>
              </w:rPr>
            </w:r>
            <w:r w:rsidR="004534E8" w:rsidRPr="004534E8">
              <w:rPr>
                <w:webHidden/>
                <w:sz w:val="24"/>
                <w:szCs w:val="24"/>
              </w:rPr>
              <w:fldChar w:fldCharType="separate"/>
            </w:r>
            <w:r>
              <w:rPr>
                <w:webHidden/>
                <w:sz w:val="24"/>
                <w:szCs w:val="24"/>
              </w:rPr>
              <w:t>2</w:t>
            </w:r>
            <w:r w:rsidR="004534E8" w:rsidRPr="004534E8">
              <w:rPr>
                <w:webHidden/>
                <w:sz w:val="24"/>
                <w:szCs w:val="24"/>
              </w:rPr>
              <w:fldChar w:fldCharType="end"/>
            </w:r>
          </w:hyperlink>
        </w:p>
        <w:p w:rsidR="004534E8" w:rsidRPr="004534E8" w:rsidRDefault="00320326">
          <w:pPr>
            <w:pStyle w:val="TDC2"/>
            <w:rPr>
              <w:rFonts w:asciiTheme="minorHAnsi" w:eastAsiaTheme="minorEastAsia" w:hAnsiTheme="minorHAnsi"/>
              <w:b w:val="0"/>
              <w:lang w:eastAsia="es-MX"/>
            </w:rPr>
          </w:pPr>
          <w:hyperlink w:anchor="_Toc1121193" w:history="1">
            <w:r w:rsidR="004534E8" w:rsidRPr="004534E8">
              <w:rPr>
                <w:rStyle w:val="Hipervnculo"/>
              </w:rPr>
              <w:t>III. Del Derecho de Acceso a la información pública y el deber de motivar.</w:t>
            </w:r>
            <w:r w:rsidR="004534E8" w:rsidRPr="004534E8">
              <w:rPr>
                <w:webHidden/>
              </w:rPr>
              <w:tab/>
            </w:r>
            <w:r w:rsidR="004534E8" w:rsidRPr="004534E8">
              <w:rPr>
                <w:webHidden/>
              </w:rPr>
              <w:fldChar w:fldCharType="begin"/>
            </w:r>
            <w:r w:rsidR="004534E8" w:rsidRPr="004534E8">
              <w:rPr>
                <w:webHidden/>
              </w:rPr>
              <w:instrText xml:space="preserve"> PAGEREF _Toc1121193 \h </w:instrText>
            </w:r>
            <w:r w:rsidR="004534E8" w:rsidRPr="004534E8">
              <w:rPr>
                <w:webHidden/>
              </w:rPr>
            </w:r>
            <w:r w:rsidR="004534E8" w:rsidRPr="004534E8">
              <w:rPr>
                <w:webHidden/>
              </w:rPr>
              <w:fldChar w:fldCharType="separate"/>
            </w:r>
            <w:r>
              <w:rPr>
                <w:webHidden/>
              </w:rPr>
              <w:t>5</w:t>
            </w:r>
            <w:r w:rsidR="004534E8" w:rsidRPr="004534E8">
              <w:rPr>
                <w:webHidden/>
              </w:rPr>
              <w:fldChar w:fldCharType="end"/>
            </w:r>
          </w:hyperlink>
        </w:p>
        <w:p w:rsidR="004534E8" w:rsidRPr="004534E8" w:rsidRDefault="00320326" w:rsidP="004534E8">
          <w:pPr>
            <w:pStyle w:val="TDC1"/>
            <w:rPr>
              <w:rFonts w:asciiTheme="minorHAnsi" w:eastAsiaTheme="minorEastAsia" w:hAnsiTheme="minorHAnsi"/>
              <w:b w:val="0"/>
              <w:sz w:val="24"/>
              <w:szCs w:val="24"/>
              <w:lang w:eastAsia="es-MX"/>
            </w:rPr>
          </w:pPr>
          <w:hyperlink w:anchor="_Toc1121194" w:history="1">
            <w:r w:rsidR="004534E8" w:rsidRPr="004534E8">
              <w:rPr>
                <w:rStyle w:val="Hipervnculo"/>
                <w:rFonts w:eastAsia="Calibri"/>
                <w:sz w:val="24"/>
                <w:szCs w:val="24"/>
              </w:rPr>
              <w:t>IV. Del Pronunciamiento simple</w:t>
            </w:r>
            <w:r w:rsidR="004534E8" w:rsidRPr="004534E8">
              <w:rPr>
                <w:webHidden/>
                <w:sz w:val="24"/>
                <w:szCs w:val="24"/>
              </w:rPr>
              <w:tab/>
            </w:r>
            <w:r w:rsidR="004534E8" w:rsidRPr="004534E8">
              <w:rPr>
                <w:webHidden/>
                <w:sz w:val="24"/>
                <w:szCs w:val="24"/>
              </w:rPr>
              <w:fldChar w:fldCharType="begin"/>
            </w:r>
            <w:r w:rsidR="004534E8" w:rsidRPr="004534E8">
              <w:rPr>
                <w:webHidden/>
                <w:sz w:val="24"/>
                <w:szCs w:val="24"/>
              </w:rPr>
              <w:instrText xml:space="preserve"> PAGEREF _Toc1121194 \h </w:instrText>
            </w:r>
            <w:r w:rsidR="004534E8" w:rsidRPr="004534E8">
              <w:rPr>
                <w:webHidden/>
                <w:sz w:val="24"/>
                <w:szCs w:val="24"/>
              </w:rPr>
            </w:r>
            <w:r w:rsidR="004534E8" w:rsidRPr="004534E8">
              <w:rPr>
                <w:webHidden/>
                <w:sz w:val="24"/>
                <w:szCs w:val="24"/>
              </w:rPr>
              <w:fldChar w:fldCharType="separate"/>
            </w:r>
            <w:r>
              <w:rPr>
                <w:webHidden/>
                <w:sz w:val="24"/>
                <w:szCs w:val="24"/>
              </w:rPr>
              <w:t>10</w:t>
            </w:r>
            <w:r w:rsidR="004534E8" w:rsidRPr="004534E8">
              <w:rPr>
                <w:webHidden/>
                <w:sz w:val="24"/>
                <w:szCs w:val="24"/>
              </w:rPr>
              <w:fldChar w:fldCharType="end"/>
            </w:r>
          </w:hyperlink>
        </w:p>
        <w:p w:rsidR="004534E8" w:rsidRDefault="00320326">
          <w:pPr>
            <w:pStyle w:val="TDC1"/>
            <w:rPr>
              <w:rFonts w:asciiTheme="minorHAnsi" w:eastAsiaTheme="minorEastAsia" w:hAnsiTheme="minorHAnsi"/>
              <w:b w:val="0"/>
              <w:sz w:val="22"/>
              <w:szCs w:val="22"/>
              <w:lang w:eastAsia="es-MX"/>
            </w:rPr>
          </w:pPr>
          <w:hyperlink w:anchor="_Toc1121196" w:history="1">
            <w:r w:rsidR="004534E8" w:rsidRPr="004534E8">
              <w:rPr>
                <w:rStyle w:val="Hipervnculo"/>
                <w:rFonts w:eastAsia="Calibri"/>
                <w:sz w:val="24"/>
                <w:szCs w:val="24"/>
              </w:rPr>
              <w:t>V. Conclusión.</w:t>
            </w:r>
            <w:r w:rsidR="004534E8" w:rsidRPr="004534E8">
              <w:rPr>
                <w:webHidden/>
                <w:sz w:val="24"/>
                <w:szCs w:val="24"/>
              </w:rPr>
              <w:tab/>
            </w:r>
            <w:r w:rsidR="004534E8" w:rsidRPr="004534E8">
              <w:rPr>
                <w:webHidden/>
                <w:sz w:val="24"/>
                <w:szCs w:val="24"/>
              </w:rPr>
              <w:fldChar w:fldCharType="begin"/>
            </w:r>
            <w:r w:rsidR="004534E8" w:rsidRPr="004534E8">
              <w:rPr>
                <w:webHidden/>
                <w:sz w:val="24"/>
                <w:szCs w:val="24"/>
              </w:rPr>
              <w:instrText xml:space="preserve"> PAGEREF _Toc1121196 \h </w:instrText>
            </w:r>
            <w:r w:rsidR="004534E8" w:rsidRPr="004534E8">
              <w:rPr>
                <w:webHidden/>
                <w:sz w:val="24"/>
                <w:szCs w:val="24"/>
              </w:rPr>
            </w:r>
            <w:r w:rsidR="004534E8" w:rsidRPr="004534E8">
              <w:rPr>
                <w:webHidden/>
                <w:sz w:val="24"/>
                <w:szCs w:val="24"/>
              </w:rPr>
              <w:fldChar w:fldCharType="separate"/>
            </w:r>
            <w:r>
              <w:rPr>
                <w:webHidden/>
                <w:sz w:val="24"/>
                <w:szCs w:val="24"/>
              </w:rPr>
              <w:t>29</w:t>
            </w:r>
            <w:r w:rsidR="004534E8" w:rsidRPr="004534E8">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1D598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12119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59509B" w:rsidRPr="0059509B">
        <w:rPr>
          <w:rFonts w:ascii="Palatino Linotype" w:hAnsi="Palatino Linotype" w:cs="Arial"/>
          <w:b/>
        </w:rPr>
        <w:t xml:space="preserve"> </w:t>
      </w:r>
      <w:r w:rsidR="0059509B" w:rsidRPr="0059509B">
        <w:rPr>
          <w:rFonts w:ascii="Palatino Linotype" w:hAnsi="Palatino Linotype" w:cs="Arial"/>
          <w:b/>
          <w:sz w:val="24"/>
          <w:szCs w:val="24"/>
        </w:rPr>
        <w:t>Universidad Politécnica de Atlacomulco</w:t>
      </w:r>
      <w:r w:rsidR="000D647C" w:rsidRPr="0059509B">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B4085B">
        <w:rPr>
          <w:rFonts w:ascii="Palatino Linotype" w:hAnsi="Palatino Linotype" w:cs="Arial"/>
          <w:b/>
          <w:bCs/>
          <w:sz w:val="24"/>
          <w:szCs w:val="24"/>
        </w:rPr>
        <w:t>04602/INFOEM/IP/RR/2018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59509B">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12119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7C333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FB227F">
        <w:rPr>
          <w:rFonts w:ascii="Palatino Linotype" w:eastAsia="Calibri" w:hAnsi="Palatino Linotype" w:cs="Times New Roman"/>
          <w:sz w:val="24"/>
          <w:szCs w:val="24"/>
        </w:rPr>
        <w:t xml:space="preserve"> </w:t>
      </w:r>
      <w:r w:rsidR="00FB227F" w:rsidRPr="0059509B">
        <w:rPr>
          <w:rFonts w:ascii="Palatino Linotype" w:eastAsia="Calibri" w:hAnsi="Palatino Linotype" w:cs="Times New Roman"/>
          <w:sz w:val="24"/>
          <w:szCs w:val="24"/>
        </w:rPr>
        <w:t>la</w:t>
      </w:r>
      <w:r w:rsidR="0059509B" w:rsidRPr="0059509B">
        <w:rPr>
          <w:rFonts w:ascii="Palatino Linotype" w:hAnsi="Palatino Linotype" w:cs="Arial"/>
          <w:b/>
          <w:sz w:val="24"/>
          <w:szCs w:val="24"/>
        </w:rPr>
        <w:t xml:space="preserve"> Universidad Politécnica de Atlacomulco</w:t>
      </w:r>
      <w:r w:rsidR="00FB227F" w:rsidRPr="0059509B">
        <w:rPr>
          <w:rFonts w:ascii="Palatino Linotype" w:hAnsi="Palatino Linotype"/>
          <w:b/>
          <w:sz w:val="24"/>
          <w:szCs w:val="24"/>
        </w:rPr>
        <w:t>,</w:t>
      </w:r>
      <w:r w:rsidR="00317725" w:rsidRPr="0059509B">
        <w:rPr>
          <w:rFonts w:ascii="Palatino Linotype" w:hAnsi="Palatino Linotype"/>
          <w:b/>
          <w:sz w:val="24"/>
          <w:szCs w:val="24"/>
        </w:rPr>
        <w:t xml:space="preserve"> </w:t>
      </w:r>
      <w:r w:rsidR="00466F4A" w:rsidRPr="0059509B">
        <w:rPr>
          <w:rFonts w:ascii="Palatino Linotype" w:eastAsia="Calibri" w:hAnsi="Palatino Linotype" w:cs="Times New Roman"/>
          <w:sz w:val="24"/>
          <w:szCs w:val="24"/>
        </w:rPr>
        <w:t>e</w:t>
      </w:r>
      <w:r w:rsidR="00466F4A" w:rsidRPr="00D93A70">
        <w:rPr>
          <w:rFonts w:ascii="Palatino Linotype" w:eastAsia="Calibri" w:hAnsi="Palatino Linotype" w:cs="Times New Roman"/>
          <w:sz w:val="24"/>
          <w:szCs w:val="24"/>
        </w:rPr>
        <w:t>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59509B" w:rsidRPr="0059509B" w:rsidRDefault="0059509B" w:rsidP="0059509B">
      <w:pPr>
        <w:spacing w:before="100" w:beforeAutospacing="1" w:after="100" w:afterAutospacing="1" w:line="240" w:lineRule="auto"/>
        <w:ind w:left="851" w:right="899"/>
        <w:jc w:val="both"/>
        <w:rPr>
          <w:rFonts w:ascii="Palatino Linotype" w:eastAsia="Times New Roman" w:hAnsi="Palatino Linotype" w:cs="Arial"/>
          <w:i/>
          <w:sz w:val="24"/>
          <w:szCs w:val="24"/>
          <w:lang w:eastAsia="es-ES"/>
        </w:rPr>
      </w:pPr>
      <w:r w:rsidRPr="0059509B">
        <w:rPr>
          <w:rFonts w:ascii="Palatino Linotype" w:eastAsia="Times New Roman" w:hAnsi="Palatino Linotype" w:cs="Arial"/>
          <w:i/>
          <w:sz w:val="24"/>
          <w:szCs w:val="24"/>
          <w:lang w:eastAsia="es-ES"/>
        </w:rPr>
        <w:lastRenderedPageBreak/>
        <w:t xml:space="preserve">“Quisiera conocer si ustedes realizan donaciones de versiones impresas de libros y/o publicaciones, material auditivo, visual, gráfico y/o cualquier otro que pudiere pertenecer al acervo bibliográfico de una biblioteca y que tengan a bien realizar o desarrollar en colaboración con alguien más, material propio, inédito o de coedición yo libros que llegaran a tener en excedente, así como saber si tienen sello editorial propio, sólo en caso de ser afirmativa su respuesta quisiera saber a quién debo dirigir la solicitud y desearía conocer el procedimiento a seguir para poder acceder a los mismos, puesto que serían para acrecentar el acervo bibliográfico de la </w:t>
      </w:r>
      <w:proofErr w:type="spellStart"/>
      <w:r w:rsidRPr="0059509B">
        <w:rPr>
          <w:rFonts w:ascii="Palatino Linotype" w:eastAsia="Times New Roman" w:hAnsi="Palatino Linotype" w:cs="Arial"/>
          <w:i/>
          <w:sz w:val="24"/>
          <w:szCs w:val="24"/>
          <w:lang w:eastAsia="es-ES"/>
        </w:rPr>
        <w:t>UIMQRoo</w:t>
      </w:r>
      <w:proofErr w:type="spellEnd"/>
      <w:r w:rsidRPr="0059509B">
        <w:rPr>
          <w:rFonts w:ascii="Palatino Linotype" w:eastAsia="Times New Roman" w:hAnsi="Palatino Linotype" w:cs="Arial"/>
          <w:i/>
          <w:sz w:val="24"/>
          <w:szCs w:val="24"/>
          <w:lang w:eastAsia="es-ES"/>
        </w:rPr>
        <w:t xml:space="preserve">, que es una universidad pública con un modelo educativo único enfocado mayormente a indígenas en la península de Yucatán.” </w:t>
      </w:r>
      <w:r w:rsidRPr="0059509B">
        <w:rPr>
          <w:rFonts w:ascii="Palatino Linotype" w:eastAsia="Times New Roman" w:hAnsi="Palatino Linotype" w:cs="Arial"/>
          <w:sz w:val="24"/>
          <w:szCs w:val="24"/>
          <w:lang w:eastAsia="es-ES"/>
        </w:rPr>
        <w:t>(Sic)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FB227F">
        <w:rPr>
          <w:rFonts w:ascii="Palatino Linotype" w:eastAsia="Calibri" w:hAnsi="Palatino Linotype" w:cs="Arial"/>
          <w:sz w:val="24"/>
          <w:szCs w:val="24"/>
        </w:rPr>
        <w:t xml:space="preserve"> </w:t>
      </w:r>
      <w:r w:rsidR="003D42E2">
        <w:rPr>
          <w:rFonts w:ascii="Palatino Linotype" w:eastAsia="Calibri" w:hAnsi="Palatino Linotype" w:cs="Arial"/>
          <w:sz w:val="24"/>
          <w:szCs w:val="24"/>
        </w:rPr>
        <w:t>l</w:t>
      </w:r>
      <w:r w:rsidR="00FB227F">
        <w:rPr>
          <w:rFonts w:ascii="Palatino Linotype" w:eastAsia="Calibri" w:hAnsi="Palatino Linotype" w:cs="Arial"/>
          <w:sz w:val="24"/>
          <w:szCs w:val="24"/>
        </w:rPr>
        <w:t>a</w:t>
      </w:r>
      <w:r w:rsidR="0059509B" w:rsidRPr="0059509B">
        <w:rPr>
          <w:rFonts w:ascii="Palatino Linotype" w:hAnsi="Palatino Linotype" w:cs="Arial"/>
          <w:b/>
          <w:sz w:val="24"/>
          <w:szCs w:val="24"/>
        </w:rPr>
        <w:t xml:space="preserve"> Universidad Politécnica de Atlacomulco</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FB227F">
        <w:rPr>
          <w:rFonts w:ascii="Palatino Linotype" w:hAnsi="Palatino Linotype" w:cs="Arial"/>
          <w:b/>
          <w:sz w:val="24"/>
          <w:szCs w:val="24"/>
        </w:rPr>
        <w:t xml:space="preserve"> la</w:t>
      </w:r>
      <w:r w:rsidR="0059509B" w:rsidRPr="0059509B">
        <w:rPr>
          <w:rFonts w:ascii="Palatino Linotype" w:hAnsi="Palatino Linotype" w:cs="Arial"/>
          <w:b/>
          <w:sz w:val="24"/>
          <w:szCs w:val="24"/>
        </w:rPr>
        <w:t xml:space="preserve"> Universidad Politécnica de Atlacomulco</w:t>
      </w:r>
      <w:r w:rsidR="0059509B" w:rsidRPr="00720807">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r w:rsidRPr="00BF0FA5">
        <w:rPr>
          <w:rFonts w:ascii="Palatino Linotype" w:eastAsia="Times New Roman" w:hAnsi="Palatino Linotype" w:cs="Times New Roman"/>
          <w:i/>
          <w:iCs/>
          <w:color w:val="222222"/>
          <w:sz w:val="24"/>
          <w:szCs w:val="24"/>
          <w:lang w:eastAsia="es-MX"/>
        </w:rPr>
        <w:lastRenderedPageBreak/>
        <w:t xml:space="preserve">“a) El procedimiento a través del cual </w:t>
      </w:r>
      <w:r w:rsidRPr="00BF0FA5">
        <w:rPr>
          <w:rFonts w:ascii="Palatino Linotype" w:eastAsia="Times New Roman" w:hAnsi="Palatino Linotype" w:cs="Times New Roman"/>
          <w:b/>
          <w:i/>
          <w:iCs/>
          <w:color w:val="222222"/>
          <w:sz w:val="24"/>
          <w:szCs w:val="24"/>
          <w:lang w:eastAsia="es-MX"/>
        </w:rPr>
        <w:t>EL SUJETO OBLIGADO</w:t>
      </w:r>
      <w:r w:rsidRPr="00BF0FA5">
        <w:rPr>
          <w:rFonts w:ascii="Palatino Linotype" w:eastAsia="Times New Roman" w:hAnsi="Palatino Linotype" w:cs="Times New Roman"/>
          <w:i/>
          <w:iCs/>
          <w:color w:val="222222"/>
          <w:sz w:val="24"/>
          <w:szCs w:val="24"/>
          <w:lang w:eastAsia="es-MX"/>
        </w:rPr>
        <w:t xml:space="preserve"> regula las donaciones de libros y/o publicaciones, material auditivo, visual, gráfico y/o cualquier otro que pudiera acrecentar el acervo bibliográfico de otras Instituciones Educativas, ya sea por tratarse de material propio, inédito o de coedición y/o libros que llegara a tener en excedente al 13 de marzo de 2018.</w:t>
      </w: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r w:rsidRPr="00BF0FA5">
        <w:rPr>
          <w:rFonts w:ascii="Palatino Linotype" w:eastAsia="Times New Roman" w:hAnsi="Palatino Linotype" w:cs="Times New Roman"/>
          <w:i/>
          <w:iCs/>
          <w:color w:val="222222"/>
          <w:sz w:val="24"/>
          <w:szCs w:val="24"/>
          <w:lang w:eastAsia="es-MX"/>
        </w:rPr>
        <w:t>b) El nombre del servidor público al se le dirijan las solicitudes de donaciones al 13 de marzo de 2018.</w:t>
      </w: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r w:rsidRPr="00BF0FA5">
        <w:rPr>
          <w:rFonts w:ascii="Palatino Linotype" w:eastAsia="Times New Roman" w:hAnsi="Palatino Linotype" w:cs="Times New Roman"/>
          <w:i/>
          <w:iCs/>
          <w:color w:val="222222"/>
          <w:sz w:val="24"/>
          <w:szCs w:val="24"/>
          <w:lang w:eastAsia="es-MX"/>
        </w:rPr>
        <w:t>c) Las donaciones realizadas de versiones impresas de libros y/o publicaciones, material auditivo, visual, gráfico y/o cualquier otro que pudiera haber acrecentado el acervo bibliográfico de otras Instituciones Educativas, ya sea de material propio, inédito o de coedición y/o libros que llegara a tener en excedente, del 13 de marzo de 2017 al 13 de marzo de 2018.</w:t>
      </w: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r w:rsidRPr="00BF0FA5">
        <w:rPr>
          <w:rFonts w:ascii="Palatino Linotype" w:eastAsia="Times New Roman" w:hAnsi="Palatino Linotype" w:cs="Times New Roman"/>
          <w:i/>
          <w:iCs/>
          <w:color w:val="222222"/>
          <w:sz w:val="24"/>
          <w:szCs w:val="24"/>
          <w:lang w:eastAsia="es-MX"/>
        </w:rPr>
        <w:t>d) El registro del sello editorial vigente al 13 de marzo de 2018.</w:t>
      </w: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r w:rsidRPr="00BF0FA5">
        <w:rPr>
          <w:rFonts w:ascii="Palatino Linotype" w:eastAsia="Times New Roman" w:hAnsi="Palatino Linotype" w:cs="Times New Roman"/>
          <w:i/>
          <w:iCs/>
          <w:color w:val="222222"/>
          <w:sz w:val="24"/>
          <w:szCs w:val="24"/>
          <w:lang w:eastAsia="es-MX"/>
        </w:rPr>
        <w:t xml:space="preserve">Debiendo notificar al </w:t>
      </w:r>
      <w:r w:rsidRPr="00BF0FA5">
        <w:rPr>
          <w:rFonts w:ascii="Palatino Linotype" w:eastAsia="Times New Roman" w:hAnsi="Palatino Linotype" w:cs="Times New Roman"/>
          <w:b/>
          <w:i/>
          <w:iCs/>
          <w:color w:val="222222"/>
          <w:sz w:val="24"/>
          <w:szCs w:val="24"/>
          <w:lang w:eastAsia="es-MX"/>
        </w:rPr>
        <w:t>RECURRENTE</w:t>
      </w:r>
      <w:r w:rsidRPr="00BF0FA5">
        <w:rPr>
          <w:rFonts w:ascii="Palatino Linotype" w:eastAsia="Times New Roman" w:hAnsi="Palatino Linotype" w:cs="Times New Roman"/>
          <w:i/>
          <w:iCs/>
          <w:color w:val="222222"/>
          <w:sz w:val="24"/>
          <w:szCs w:val="24"/>
          <w:lang w:eastAsia="es-MX"/>
        </w:rPr>
        <w:t xml:space="preserve"> el Acuerdo de Clasificación de la información que emita el Comité de Transparencia con motivo de las versiones públicas.</w:t>
      </w: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p>
    <w:p w:rsidR="00BF0FA5" w:rsidRPr="00BF0FA5" w:rsidRDefault="00BF0FA5" w:rsidP="00BF0FA5">
      <w:pPr>
        <w:spacing w:after="0" w:line="240" w:lineRule="auto"/>
        <w:ind w:left="851" w:right="902"/>
        <w:jc w:val="both"/>
        <w:rPr>
          <w:rFonts w:ascii="Palatino Linotype" w:eastAsia="Times New Roman" w:hAnsi="Palatino Linotype" w:cs="Times New Roman"/>
          <w:i/>
          <w:iCs/>
          <w:color w:val="222222"/>
          <w:sz w:val="24"/>
          <w:szCs w:val="24"/>
          <w:lang w:eastAsia="es-MX"/>
        </w:rPr>
      </w:pPr>
      <w:r w:rsidRPr="00BF0FA5">
        <w:rPr>
          <w:rFonts w:ascii="Palatino Linotype" w:eastAsia="Times New Roman" w:hAnsi="Palatino Linotype" w:cs="Times New Roman"/>
          <w:i/>
          <w:iCs/>
          <w:color w:val="222222"/>
          <w:sz w:val="24"/>
          <w:szCs w:val="24"/>
          <w:lang w:eastAsia="es-MX"/>
        </w:rPr>
        <w:t xml:space="preserve">Para el caso de que una vez acreditada la búsqueda exhaustiva y razonable de la información que se ordena en los incisos anteriores </w:t>
      </w:r>
      <w:r w:rsidRPr="00BF0FA5">
        <w:rPr>
          <w:rFonts w:ascii="Palatino Linotype" w:eastAsia="Times New Roman" w:hAnsi="Palatino Linotype" w:cs="Times New Roman"/>
          <w:b/>
          <w:i/>
          <w:iCs/>
          <w:color w:val="222222"/>
          <w:sz w:val="24"/>
          <w:szCs w:val="24"/>
          <w:lang w:eastAsia="es-MX"/>
        </w:rPr>
        <w:t xml:space="preserve">EL SUJETO OBLIGADO </w:t>
      </w:r>
      <w:r w:rsidRPr="00BF0FA5">
        <w:rPr>
          <w:rFonts w:ascii="Palatino Linotype" w:eastAsia="Times New Roman" w:hAnsi="Palatino Linotype" w:cs="Times New Roman"/>
          <w:i/>
          <w:iCs/>
          <w:color w:val="222222"/>
          <w:sz w:val="24"/>
          <w:szCs w:val="24"/>
          <w:lang w:eastAsia="es-MX"/>
        </w:rPr>
        <w:t xml:space="preserve">no localizara la información que se ordena por no tener previsto el procedimiento de donaciones y/o no tener sello editorial, deberá hacerlo del conocimiento del </w:t>
      </w:r>
      <w:r w:rsidRPr="00BF0FA5">
        <w:rPr>
          <w:rFonts w:ascii="Palatino Linotype" w:eastAsia="Times New Roman" w:hAnsi="Palatino Linotype" w:cs="Times New Roman"/>
          <w:b/>
          <w:i/>
          <w:iCs/>
          <w:color w:val="222222"/>
          <w:sz w:val="24"/>
          <w:szCs w:val="24"/>
          <w:lang w:eastAsia="es-MX"/>
        </w:rPr>
        <w:t>RECURRENTE</w:t>
      </w:r>
      <w:r w:rsidRPr="00BF0FA5">
        <w:rPr>
          <w:rFonts w:ascii="Palatino Linotype" w:eastAsia="Times New Roman" w:hAnsi="Palatino Linotype" w:cs="Arial"/>
          <w:i/>
          <w:sz w:val="24"/>
          <w:szCs w:val="24"/>
          <w:lang w:eastAsia="es-ES"/>
        </w:rPr>
        <w:t>.”</w:t>
      </w:r>
    </w:p>
    <w:p w:rsidR="00332757" w:rsidRPr="00BF0FA5"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D366A2"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871B60">
        <w:rPr>
          <w:rFonts w:ascii="Palatino Linotype" w:eastAsia="Times New Roman" w:hAnsi="Palatino Linotype" w:cs="Arial"/>
          <w:sz w:val="24"/>
        </w:rPr>
        <w:t>:</w:t>
      </w:r>
    </w:p>
    <w:p w:rsidR="00D366A2" w:rsidRPr="00BF0FA5" w:rsidRDefault="00BF0FA5" w:rsidP="00D366A2">
      <w:pPr>
        <w:pStyle w:val="Prrafodelista"/>
        <w:spacing w:before="240" w:after="240" w:line="360" w:lineRule="auto"/>
        <w:ind w:left="0" w:right="49"/>
        <w:jc w:val="both"/>
        <w:rPr>
          <w:rFonts w:ascii="Palatino Linotype" w:eastAsia="Times New Roman" w:hAnsi="Palatino Linotype" w:cs="Arial"/>
          <w:i/>
          <w:sz w:val="24"/>
        </w:rPr>
      </w:pPr>
      <w:r w:rsidRPr="00BF0FA5">
        <w:rPr>
          <w:rFonts w:ascii="Palatino Linotype" w:eastAsia="Times New Roman" w:hAnsi="Palatino Linotype" w:cs="Arial"/>
          <w:i/>
          <w:sz w:val="24"/>
        </w:rPr>
        <w:lastRenderedPageBreak/>
        <w:t>Para el caso de que una vez acreditada la búsqueda exhaustiva y razonable de la información que se ordena en los incisos anteriores EL SUJETO OBLIGADO no localizara la información que se ordena por no tener previsto el procedimiento de donaciones y/o no tener sello editorial, deberá hacerlo del conocimiento del RECURRENTE.”</w:t>
      </w:r>
    </w:p>
    <w:p w:rsidR="00720807" w:rsidRPr="002B02A8" w:rsidRDefault="00720807" w:rsidP="00720807">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121193"/>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121194"/>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017704" w:rsidRPr="009412AB" w:rsidRDefault="00483418" w:rsidP="0001770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bookmarkStart w:id="5" w:name="_Toc1121195"/>
    <w:p w:rsidR="00842051" w:rsidRDefault="00842051" w:rsidP="004B558D">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111125</wp:posOffset>
                </wp:positionV>
                <wp:extent cx="5686425" cy="46672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86425" cy="466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897E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8.75pt" to="448.2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" strokecolor="black [3200]" strokeweight=".5pt">
                <v:stroke joinstyle="miter"/>
              </v:line>
            </w:pict>
          </mc:Fallback>
        </mc:AlternateContent>
      </w:r>
      <w:bookmarkEnd w:id="5"/>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842051" w:rsidRDefault="00842051" w:rsidP="004B558D">
      <w:pPr>
        <w:pStyle w:val="Ttulo1"/>
        <w:rPr>
          <w:rFonts w:eastAsia="Calibri"/>
          <w:color w:val="auto"/>
          <w:szCs w:val="24"/>
        </w:rPr>
      </w:pPr>
    </w:p>
    <w:p w:rsidR="007D1774" w:rsidRDefault="007D1774" w:rsidP="007D1774"/>
    <w:p w:rsidR="007D1774" w:rsidRDefault="007D1774" w:rsidP="007D1774"/>
    <w:p w:rsidR="007D1774" w:rsidRPr="007D1774" w:rsidRDefault="007D1774" w:rsidP="007D1774"/>
    <w:p w:rsidR="00842051" w:rsidRDefault="00842051" w:rsidP="004B558D">
      <w:pPr>
        <w:pStyle w:val="Ttulo1"/>
        <w:rPr>
          <w:rFonts w:eastAsia="Calibri"/>
          <w:color w:val="auto"/>
          <w:szCs w:val="24"/>
        </w:rPr>
      </w:pPr>
    </w:p>
    <w:p w:rsidR="004B558D" w:rsidRPr="004B558D" w:rsidRDefault="00CD53CB" w:rsidP="004B558D">
      <w:pPr>
        <w:pStyle w:val="Ttulo1"/>
        <w:rPr>
          <w:rFonts w:eastAsia="Calibri"/>
          <w:color w:val="auto"/>
          <w:szCs w:val="24"/>
        </w:rPr>
      </w:pPr>
      <w:bookmarkStart w:id="6" w:name="_Toc1121196"/>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D069D1" w:rsidRDefault="00D069D1"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7" w:name="_GoBack"/>
      <w:bookmarkEnd w:id="7"/>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20326">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20326">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203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203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3203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4"/>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6"/>
  </w:num>
  <w:num w:numId="14">
    <w:abstractNumId w:val="35"/>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7"/>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1519"/>
    <w:rsid w:val="001A3506"/>
    <w:rsid w:val="001A4E6E"/>
    <w:rsid w:val="001A5DCA"/>
    <w:rsid w:val="001A7D89"/>
    <w:rsid w:val="001B19B4"/>
    <w:rsid w:val="001C23BB"/>
    <w:rsid w:val="001C3DD0"/>
    <w:rsid w:val="001C6366"/>
    <w:rsid w:val="001C77F3"/>
    <w:rsid w:val="001D35E2"/>
    <w:rsid w:val="001D47E3"/>
    <w:rsid w:val="001D598A"/>
    <w:rsid w:val="001D71D8"/>
    <w:rsid w:val="001D7C57"/>
    <w:rsid w:val="001E1AE7"/>
    <w:rsid w:val="001E5635"/>
    <w:rsid w:val="001F05DA"/>
    <w:rsid w:val="001F0E58"/>
    <w:rsid w:val="001F1428"/>
    <w:rsid w:val="00202AE6"/>
    <w:rsid w:val="0022191E"/>
    <w:rsid w:val="00223548"/>
    <w:rsid w:val="00224B9E"/>
    <w:rsid w:val="002255A9"/>
    <w:rsid w:val="002301F3"/>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326"/>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3CF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34E8"/>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B558D"/>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9509B"/>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2C53"/>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C3333"/>
    <w:rsid w:val="007D037D"/>
    <w:rsid w:val="007D03AB"/>
    <w:rsid w:val="007D1774"/>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2051"/>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12AB"/>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085B"/>
    <w:rsid w:val="00B41044"/>
    <w:rsid w:val="00B516DB"/>
    <w:rsid w:val="00B52EEC"/>
    <w:rsid w:val="00B55C31"/>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0FA5"/>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A48E7"/>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069D1"/>
    <w:rsid w:val="00D11834"/>
    <w:rsid w:val="00D152FB"/>
    <w:rsid w:val="00D207EA"/>
    <w:rsid w:val="00D2727B"/>
    <w:rsid w:val="00D31010"/>
    <w:rsid w:val="00D35B4C"/>
    <w:rsid w:val="00D36317"/>
    <w:rsid w:val="00D366A2"/>
    <w:rsid w:val="00D37ED5"/>
    <w:rsid w:val="00D40E34"/>
    <w:rsid w:val="00D51491"/>
    <w:rsid w:val="00D549C7"/>
    <w:rsid w:val="00D75212"/>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4AC9-00B5-4AEB-8E9A-632412341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29</Pages>
  <Words>5770</Words>
  <Characters>31738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125</cp:revision>
  <cp:lastPrinted>2019-02-15T18:18:00Z</cp:lastPrinted>
  <dcterms:created xsi:type="dcterms:W3CDTF">2019-01-10T22:09:00Z</dcterms:created>
  <dcterms:modified xsi:type="dcterms:W3CDTF">2019-02-15T18:18:00Z</dcterms:modified>
</cp:coreProperties>
</file>